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0F" w:rsidRDefault="00BC406B" w:rsidP="00A74D0F">
      <w:pPr>
        <w:spacing w:after="0" w:line="336" w:lineRule="atLeast"/>
        <w:jc w:val="center"/>
        <w:textAlignment w:val="baseline"/>
        <w:outlineLvl w:val="0"/>
        <w:rPr>
          <w:rFonts w:asciiTheme="majorHAnsi" w:eastAsia="Times New Roman" w:hAnsiTheme="majorHAnsi" w:cs="Arial"/>
          <w:b/>
          <w:bCs/>
          <w:color w:val="333333"/>
          <w:kern w:val="36"/>
          <w:sz w:val="50"/>
          <w:szCs w:val="50"/>
        </w:rPr>
      </w:pPr>
      <w:r w:rsidRPr="00A74D0F">
        <w:rPr>
          <w:rFonts w:asciiTheme="majorHAnsi" w:eastAsia="Times New Roman" w:hAnsiTheme="majorHAnsi" w:cs="Arial"/>
          <w:b/>
          <w:bCs/>
          <w:color w:val="333333"/>
          <w:kern w:val="36"/>
          <w:sz w:val="50"/>
          <w:szCs w:val="50"/>
        </w:rPr>
        <w:t>Troy</w:t>
      </w:r>
    </w:p>
    <w:p w:rsidR="00BC406B" w:rsidRPr="00A74D0F" w:rsidRDefault="00BC406B" w:rsidP="00A74D0F">
      <w:pPr>
        <w:spacing w:after="0" w:line="336" w:lineRule="atLeast"/>
        <w:jc w:val="center"/>
        <w:textAlignment w:val="baseline"/>
        <w:outlineLvl w:val="0"/>
        <w:rPr>
          <w:rFonts w:asciiTheme="majorHAnsi" w:eastAsia="Times New Roman" w:hAnsiTheme="majorHAnsi" w:cs="Arial"/>
          <w:b/>
          <w:bCs/>
          <w:color w:val="333333"/>
          <w:kern w:val="36"/>
          <w:sz w:val="50"/>
          <w:szCs w:val="50"/>
        </w:rPr>
      </w:pPr>
      <w:r w:rsidRPr="00A74D0F">
        <w:rPr>
          <w:rFonts w:asciiTheme="majorHAnsi" w:eastAsia="Times New Roman" w:hAnsiTheme="majorHAnsi" w:cs="Arial"/>
          <w:b/>
          <w:bCs/>
          <w:color w:val="333333"/>
          <w:kern w:val="36"/>
          <w:sz w:val="20"/>
          <w:szCs w:val="20"/>
        </w:rPr>
        <w:t>(</w:t>
      </w:r>
      <w:proofErr w:type="gramStart"/>
      <w:r w:rsidRPr="00A74D0F">
        <w:rPr>
          <w:rFonts w:asciiTheme="majorHAnsi" w:eastAsia="Times New Roman" w:hAnsiTheme="majorHAnsi" w:cs="Arial"/>
          <w:b/>
          <w:bCs/>
          <w:color w:val="333333"/>
          <w:kern w:val="36"/>
          <w:sz w:val="20"/>
          <w:szCs w:val="20"/>
        </w:rPr>
        <w:t>excerpts</w:t>
      </w:r>
      <w:proofErr w:type="gramEnd"/>
      <w:r w:rsidRPr="00A74D0F">
        <w:rPr>
          <w:rFonts w:asciiTheme="majorHAnsi" w:eastAsia="Times New Roman" w:hAnsiTheme="majorHAnsi" w:cs="Arial"/>
          <w:b/>
          <w:bCs/>
          <w:color w:val="333333"/>
          <w:kern w:val="36"/>
          <w:sz w:val="20"/>
          <w:szCs w:val="20"/>
        </w:rPr>
        <w:t xml:space="preserve"> </w:t>
      </w:r>
      <w:r w:rsidRPr="00A74D0F">
        <w:rPr>
          <w:rFonts w:asciiTheme="majorHAnsi" w:eastAsia="Times New Roman" w:hAnsiTheme="majorHAnsi" w:cs="Arial"/>
          <w:b/>
          <w:bCs/>
          <w:i/>
          <w:color w:val="333333"/>
          <w:kern w:val="36"/>
          <w:sz w:val="20"/>
          <w:szCs w:val="20"/>
        </w:rPr>
        <w:t>modified</w:t>
      </w:r>
      <w:r w:rsidRPr="00A74D0F">
        <w:rPr>
          <w:rFonts w:asciiTheme="majorHAnsi" w:eastAsia="Times New Roman" w:hAnsiTheme="majorHAnsi" w:cs="Arial"/>
          <w:b/>
          <w:bCs/>
          <w:color w:val="333333"/>
          <w:kern w:val="36"/>
          <w:sz w:val="20"/>
          <w:szCs w:val="20"/>
        </w:rPr>
        <w:t xml:space="preserve"> from an article published by the Archeological Institute of America and history.com)</w:t>
      </w:r>
    </w:p>
    <w:p w:rsidR="00BC406B" w:rsidRPr="00A74D0F" w:rsidRDefault="00BC406B" w:rsidP="00BC406B">
      <w:pPr>
        <w:shd w:val="clear" w:color="auto" w:fill="FFFFFF"/>
        <w:spacing w:after="0" w:line="240" w:lineRule="auto"/>
        <w:textAlignment w:val="baseline"/>
        <w:rPr>
          <w:rFonts w:asciiTheme="majorHAnsi" w:eastAsia="Times New Roman" w:hAnsiTheme="majorHAnsi" w:cs="Times New Roman"/>
          <w:color w:val="333333"/>
          <w:sz w:val="18"/>
          <w:szCs w:val="18"/>
        </w:rPr>
      </w:pPr>
      <w:r w:rsidRPr="00A74D0F">
        <w:rPr>
          <w:rFonts w:asciiTheme="majorHAnsi" w:eastAsia="Times New Roman" w:hAnsiTheme="majorHAnsi" w:cs="Times New Roman"/>
          <w:color w:val="333333"/>
          <w:sz w:val="18"/>
          <w:szCs w:val="18"/>
        </w:rPr>
        <w:t> </w:t>
      </w:r>
    </w:p>
    <w:p w:rsidR="00BC406B" w:rsidRPr="00A74D0F" w:rsidRDefault="00BC406B" w:rsidP="00BC406B">
      <w:pPr>
        <w:spacing w:after="0" w:line="324" w:lineRule="atLeast"/>
        <w:textAlignment w:val="baseline"/>
        <w:outlineLvl w:val="1"/>
        <w:rPr>
          <w:rFonts w:asciiTheme="majorHAnsi" w:eastAsia="Times New Roman" w:hAnsiTheme="majorHAnsi" w:cs="Arial"/>
          <w:b/>
          <w:bCs/>
          <w:color w:val="444444"/>
          <w:sz w:val="30"/>
          <w:szCs w:val="30"/>
          <w:bdr w:val="none" w:sz="0" w:space="0" w:color="auto" w:frame="1"/>
        </w:rPr>
      </w:pPr>
    </w:p>
    <w:p w:rsidR="00BC406B" w:rsidRPr="00A74D0F" w:rsidRDefault="00BC406B" w:rsidP="00A74D0F">
      <w:pPr>
        <w:spacing w:after="0" w:line="324" w:lineRule="atLeast"/>
        <w:jc w:val="center"/>
        <w:textAlignment w:val="baseline"/>
        <w:outlineLvl w:val="1"/>
        <w:rPr>
          <w:rFonts w:asciiTheme="majorHAnsi" w:eastAsia="Times New Roman" w:hAnsiTheme="majorHAnsi" w:cs="Arial"/>
          <w:b/>
          <w:bCs/>
          <w:sz w:val="29"/>
          <w:szCs w:val="29"/>
        </w:rPr>
      </w:pPr>
      <w:r w:rsidRPr="00A74D0F">
        <w:rPr>
          <w:rFonts w:asciiTheme="majorHAnsi" w:eastAsia="Times New Roman" w:hAnsiTheme="majorHAnsi" w:cs="Arial"/>
          <w:b/>
          <w:bCs/>
          <w:sz w:val="30"/>
          <w:szCs w:val="30"/>
          <w:bdr w:val="none" w:sz="0" w:space="0" w:color="auto" w:frame="1"/>
        </w:rPr>
        <w:t>Findings</w:t>
      </w:r>
    </w:p>
    <w:p w:rsidR="00BC406B" w:rsidRPr="00A74D0F" w:rsidRDefault="00BC406B" w:rsidP="00A74D0F">
      <w:pPr>
        <w:spacing w:after="0" w:line="480" w:lineRule="auto"/>
        <w:textAlignment w:val="baseline"/>
        <w:rPr>
          <w:rFonts w:asciiTheme="majorHAnsi" w:hAnsiTheme="majorHAnsi" w:cs="Helvetica"/>
          <w:spacing w:val="1"/>
          <w:sz w:val="24"/>
          <w:szCs w:val="24"/>
        </w:rPr>
      </w:pPr>
      <w:r w:rsidRPr="00A74D0F">
        <w:rPr>
          <w:rFonts w:asciiTheme="majorHAnsi" w:hAnsiTheme="majorHAnsi" w:cs="Helvetica"/>
          <w:spacing w:val="1"/>
          <w:sz w:val="24"/>
          <w:szCs w:val="24"/>
        </w:rPr>
        <w:t>Major excavations at the site of Troy in 1870 under the direction of German archaeologist Heinrich Schliemann revealed a small citadel mound and layers of debris 25 meters deep. Later studies have document more than 46 building phases grouped into nine bands representing the site’s inhabitation from 3,000 B.C. until its final abandonment in A.D. 1350. </w:t>
      </w:r>
    </w:p>
    <w:p w:rsidR="00BC406B" w:rsidRPr="00A74D0F" w:rsidRDefault="00BC406B" w:rsidP="00A74D0F">
      <w:pPr>
        <w:spacing w:after="0" w:line="480" w:lineRule="auto"/>
        <w:ind w:firstLine="720"/>
        <w:textAlignment w:val="baseline"/>
        <w:rPr>
          <w:rFonts w:asciiTheme="majorHAnsi" w:eastAsia="Times New Roman" w:hAnsiTheme="majorHAnsi" w:cs="Arial"/>
          <w:sz w:val="24"/>
          <w:szCs w:val="24"/>
        </w:rPr>
      </w:pPr>
      <w:r w:rsidRPr="00A74D0F">
        <w:rPr>
          <w:rFonts w:asciiTheme="majorHAnsi" w:eastAsia="Times New Roman" w:hAnsiTheme="majorHAnsi" w:cs="Arial"/>
          <w:sz w:val="24"/>
          <w:szCs w:val="24"/>
        </w:rPr>
        <w:t xml:space="preserve">Troy at this time had new and vigorous settlers who introduced domesticated horses to the Aegean area. They further enlarged the city and erected a magnificent circuit of cut limestone walls that were 15 feet (4.5 </w:t>
      </w:r>
      <w:proofErr w:type="spellStart"/>
      <w:r w:rsidRPr="00A74D0F">
        <w:rPr>
          <w:rFonts w:asciiTheme="majorHAnsi" w:eastAsia="Times New Roman" w:hAnsiTheme="majorHAnsi" w:cs="Arial"/>
          <w:sz w:val="24"/>
          <w:szCs w:val="24"/>
        </w:rPr>
        <w:t>metres</w:t>
      </w:r>
      <w:proofErr w:type="spellEnd"/>
      <w:r w:rsidRPr="00A74D0F">
        <w:rPr>
          <w:rFonts w:asciiTheme="majorHAnsi" w:eastAsia="Times New Roman" w:hAnsiTheme="majorHAnsi" w:cs="Arial"/>
          <w:sz w:val="24"/>
          <w:szCs w:val="24"/>
        </w:rPr>
        <w:t xml:space="preserve">) thick at the base, rose to a height of more than 17 feet (5 </w:t>
      </w:r>
      <w:proofErr w:type="spellStart"/>
      <w:r w:rsidRPr="00A74D0F">
        <w:rPr>
          <w:rFonts w:asciiTheme="majorHAnsi" w:eastAsia="Times New Roman" w:hAnsiTheme="majorHAnsi" w:cs="Arial"/>
          <w:sz w:val="24"/>
          <w:szCs w:val="24"/>
        </w:rPr>
        <w:t>metres</w:t>
      </w:r>
      <w:proofErr w:type="spellEnd"/>
      <w:r w:rsidRPr="00A74D0F">
        <w:rPr>
          <w:rFonts w:asciiTheme="majorHAnsi" w:eastAsia="Times New Roman" w:hAnsiTheme="majorHAnsi" w:cs="Arial"/>
          <w:sz w:val="24"/>
          <w:szCs w:val="24"/>
        </w:rPr>
        <w:t xml:space="preserve">), and had brick ramparts and watchtowers. Inside the citadel, which was now about 650 feet (200 </w:t>
      </w:r>
      <w:proofErr w:type="spellStart"/>
      <w:r w:rsidRPr="00A74D0F">
        <w:rPr>
          <w:rFonts w:asciiTheme="majorHAnsi" w:eastAsia="Times New Roman" w:hAnsiTheme="majorHAnsi" w:cs="Arial"/>
          <w:sz w:val="24"/>
          <w:szCs w:val="24"/>
        </w:rPr>
        <w:t>metres</w:t>
      </w:r>
      <w:proofErr w:type="spellEnd"/>
      <w:r w:rsidRPr="00A74D0F">
        <w:rPr>
          <w:rFonts w:asciiTheme="majorHAnsi" w:eastAsia="Times New Roman" w:hAnsiTheme="majorHAnsi" w:cs="Arial"/>
          <w:sz w:val="24"/>
          <w:szCs w:val="24"/>
        </w:rPr>
        <w:t xml:space="preserve">) long and 450 feet (140 </w:t>
      </w:r>
      <w:proofErr w:type="spellStart"/>
      <w:r w:rsidRPr="00A74D0F">
        <w:rPr>
          <w:rFonts w:asciiTheme="majorHAnsi" w:eastAsia="Times New Roman" w:hAnsiTheme="majorHAnsi" w:cs="Arial"/>
          <w:sz w:val="24"/>
          <w:szCs w:val="24"/>
        </w:rPr>
        <w:t>metres</w:t>
      </w:r>
      <w:proofErr w:type="spellEnd"/>
      <w:r w:rsidRPr="00A74D0F">
        <w:rPr>
          <w:rFonts w:asciiTheme="majorHAnsi" w:eastAsia="Times New Roman" w:hAnsiTheme="majorHAnsi" w:cs="Arial"/>
          <w:sz w:val="24"/>
          <w:szCs w:val="24"/>
        </w:rPr>
        <w:t>) wide, great houses were laid out on ascending, concentric terraces. Troy VI was destroyed by a violent earthquake a little after 1300 </w:t>
      </w:r>
      <w:proofErr w:type="spellStart"/>
      <w:r w:rsidRPr="00A74D0F">
        <w:rPr>
          <w:rFonts w:asciiTheme="majorHAnsi" w:eastAsia="Times New Roman" w:hAnsiTheme="majorHAnsi" w:cs="Arial"/>
          <w:smallCaps/>
          <w:sz w:val="24"/>
          <w:szCs w:val="24"/>
          <w:bdr w:val="none" w:sz="0" w:space="0" w:color="auto" w:frame="1"/>
        </w:rPr>
        <w:t>bce</w:t>
      </w:r>
      <w:proofErr w:type="spellEnd"/>
      <w:r w:rsidRPr="00A74D0F">
        <w:rPr>
          <w:rFonts w:asciiTheme="majorHAnsi" w:eastAsia="Times New Roman" w:hAnsiTheme="majorHAnsi" w:cs="Arial"/>
          <w:sz w:val="24"/>
          <w:szCs w:val="24"/>
        </w:rPr>
        <w:t xml:space="preserve">. </w:t>
      </w:r>
      <w:proofErr w:type="spellStart"/>
      <w:r w:rsidRPr="00A74D0F">
        <w:rPr>
          <w:rFonts w:asciiTheme="majorHAnsi" w:eastAsia="Times New Roman" w:hAnsiTheme="majorHAnsi" w:cs="Arial"/>
          <w:sz w:val="24"/>
          <w:szCs w:val="24"/>
        </w:rPr>
        <w:t>Dörpfeld</w:t>
      </w:r>
      <w:proofErr w:type="spellEnd"/>
      <w:r w:rsidRPr="00A74D0F">
        <w:rPr>
          <w:rFonts w:asciiTheme="majorHAnsi" w:eastAsia="Times New Roman" w:hAnsiTheme="majorHAnsi" w:cs="Arial"/>
          <w:sz w:val="24"/>
          <w:szCs w:val="24"/>
        </w:rPr>
        <w:t xml:space="preserve"> had identified this stage as Homeric Troy, but its apparent destruction by an earthquake does not agree with the realistic account of the sack of Troy in Greek tradition. Moreover, the city’s date, as indicated by imported </w:t>
      </w:r>
      <w:hyperlink r:id="rId4" w:history="1">
        <w:r w:rsidRPr="00A74D0F">
          <w:rPr>
            <w:rFonts w:asciiTheme="majorHAnsi" w:eastAsia="Times New Roman" w:hAnsiTheme="majorHAnsi" w:cs="Arial"/>
            <w:sz w:val="24"/>
            <w:szCs w:val="24"/>
            <w:u w:val="single"/>
            <w:bdr w:val="none" w:sz="0" w:space="0" w:color="auto" w:frame="1"/>
          </w:rPr>
          <w:t>Mycenaean</w:t>
        </w:r>
      </w:hyperlink>
      <w:r w:rsidRPr="00A74D0F">
        <w:rPr>
          <w:rFonts w:asciiTheme="majorHAnsi" w:eastAsia="Times New Roman" w:hAnsiTheme="majorHAnsi" w:cs="Arial"/>
          <w:sz w:val="24"/>
          <w:szCs w:val="24"/>
        </w:rPr>
        <w:t> pottery found in the earthquake debris, is too early for the Trojan War.</w:t>
      </w:r>
    </w:p>
    <w:p w:rsidR="00BC406B" w:rsidRPr="00A74D0F" w:rsidRDefault="00A74D0F" w:rsidP="00A74D0F">
      <w:pPr>
        <w:spacing w:after="0" w:line="480" w:lineRule="auto"/>
        <w:ind w:firstLine="720"/>
        <w:textAlignment w:val="baseline"/>
        <w:rPr>
          <w:rFonts w:asciiTheme="majorHAnsi" w:eastAsia="Times New Roman" w:hAnsiTheme="majorHAnsi" w:cs="Arial"/>
          <w:sz w:val="24"/>
          <w:szCs w:val="24"/>
        </w:rPr>
      </w:pPr>
      <w:r w:rsidRPr="00A74D0F">
        <w:rPr>
          <w:rFonts w:asciiTheme="majorHAnsi" w:hAnsiTheme="majorHAnsi" w:cs="Helvetica"/>
          <w:spacing w:val="1"/>
          <w:sz w:val="24"/>
          <w:szCs w:val="24"/>
        </w:rPr>
        <w:t xml:space="preserve">Layer </w:t>
      </w:r>
      <w:proofErr w:type="spellStart"/>
      <w:r w:rsidRPr="00A74D0F">
        <w:rPr>
          <w:rFonts w:asciiTheme="majorHAnsi" w:hAnsiTheme="majorHAnsi" w:cs="Helvetica"/>
          <w:spacing w:val="1"/>
          <w:sz w:val="24"/>
          <w:szCs w:val="24"/>
        </w:rPr>
        <w:t>VIIa</w:t>
      </w:r>
      <w:proofErr w:type="spellEnd"/>
      <w:r w:rsidRPr="00A74D0F">
        <w:rPr>
          <w:rFonts w:asciiTheme="majorHAnsi" w:hAnsiTheme="majorHAnsi" w:cs="Helvetica"/>
          <w:spacing w:val="1"/>
          <w:sz w:val="24"/>
          <w:szCs w:val="24"/>
        </w:rPr>
        <w:t xml:space="preserve"> of the excavations, dated to about 1180 B.C., reveals charred debris and scattered skeletons—evidence of a wartime destruction of the city that may have inspired portions of the story of the Trojan War.  </w:t>
      </w:r>
      <w:r w:rsidR="00BC406B" w:rsidRPr="00A74D0F">
        <w:rPr>
          <w:rFonts w:asciiTheme="majorHAnsi" w:eastAsia="Times New Roman" w:hAnsiTheme="majorHAnsi" w:cs="Arial"/>
          <w:sz w:val="24"/>
          <w:szCs w:val="24"/>
        </w:rPr>
        <w:t>The survivors of the earthquake quic</w:t>
      </w:r>
      <w:r w:rsidRPr="00A74D0F">
        <w:rPr>
          <w:rFonts w:asciiTheme="majorHAnsi" w:eastAsia="Times New Roman" w:hAnsiTheme="majorHAnsi" w:cs="Arial"/>
          <w:sz w:val="24"/>
          <w:szCs w:val="24"/>
        </w:rPr>
        <w:t>kly rebuilt the town</w:t>
      </w:r>
      <w:r w:rsidR="00BC406B" w:rsidRPr="00A74D0F">
        <w:rPr>
          <w:rFonts w:asciiTheme="majorHAnsi" w:eastAsia="Times New Roman" w:hAnsiTheme="majorHAnsi" w:cs="Arial"/>
          <w:sz w:val="24"/>
          <w:szCs w:val="24"/>
        </w:rPr>
        <w:t xml:space="preserve">. The ruins were leveled and covered over by new buildings, which were set close together and filled all available space inside the fortress. Almost every house was provided with one or several huge storage jars that were sunk deep into the ground, with only their mouths above the level of the floor. Troy </w:t>
      </w:r>
      <w:proofErr w:type="spellStart"/>
      <w:r w:rsidR="00BC406B" w:rsidRPr="00A74D0F">
        <w:rPr>
          <w:rFonts w:asciiTheme="majorHAnsi" w:eastAsia="Times New Roman" w:hAnsiTheme="majorHAnsi" w:cs="Arial"/>
          <w:sz w:val="24"/>
          <w:szCs w:val="24"/>
        </w:rPr>
        <w:t>VIIa</w:t>
      </w:r>
      <w:proofErr w:type="spellEnd"/>
      <w:r w:rsidR="00BC406B" w:rsidRPr="00A74D0F">
        <w:rPr>
          <w:rFonts w:asciiTheme="majorHAnsi" w:eastAsia="Times New Roman" w:hAnsiTheme="majorHAnsi" w:cs="Arial"/>
          <w:sz w:val="24"/>
          <w:szCs w:val="24"/>
        </w:rPr>
        <w:t xml:space="preserve"> probably lasted little more than a generation. The crowding together of houses and the special measures to store up food supplies suggest that preparations had been made to withstand a siege. The town was destroyed in a devastating fire, and remnants of human bones found in some houses and streets strengthen the impression that the town was </w:t>
      </w:r>
      <w:r w:rsidR="00BC406B" w:rsidRPr="00A74D0F">
        <w:rPr>
          <w:rFonts w:asciiTheme="majorHAnsi" w:eastAsia="Times New Roman" w:hAnsiTheme="majorHAnsi" w:cs="Arial"/>
          <w:sz w:val="24"/>
          <w:szCs w:val="24"/>
        </w:rPr>
        <w:lastRenderedPageBreak/>
        <w:t xml:space="preserve">captured, looted, and burnt by enemies. Based on the evidence of imported Mycenaean pottery, the end of Troy </w:t>
      </w:r>
      <w:proofErr w:type="spellStart"/>
      <w:r w:rsidR="00BC406B" w:rsidRPr="00A74D0F">
        <w:rPr>
          <w:rFonts w:asciiTheme="majorHAnsi" w:eastAsia="Times New Roman" w:hAnsiTheme="majorHAnsi" w:cs="Arial"/>
          <w:sz w:val="24"/>
          <w:szCs w:val="24"/>
        </w:rPr>
        <w:t>VIIa</w:t>
      </w:r>
      <w:proofErr w:type="spellEnd"/>
      <w:r w:rsidR="00BC406B" w:rsidRPr="00A74D0F">
        <w:rPr>
          <w:rFonts w:asciiTheme="majorHAnsi" w:eastAsia="Times New Roman" w:hAnsiTheme="majorHAnsi" w:cs="Arial"/>
          <w:sz w:val="24"/>
          <w:szCs w:val="24"/>
        </w:rPr>
        <w:t xml:space="preserve"> can be dated to between 1260 and 1240 </w:t>
      </w:r>
      <w:proofErr w:type="spellStart"/>
      <w:r w:rsidR="00BC406B" w:rsidRPr="00A74D0F">
        <w:rPr>
          <w:rFonts w:asciiTheme="majorHAnsi" w:eastAsia="Times New Roman" w:hAnsiTheme="majorHAnsi" w:cs="Arial"/>
          <w:smallCaps/>
          <w:sz w:val="24"/>
          <w:szCs w:val="24"/>
          <w:bdr w:val="none" w:sz="0" w:space="0" w:color="auto" w:frame="1"/>
        </w:rPr>
        <w:t>bce</w:t>
      </w:r>
      <w:proofErr w:type="spellEnd"/>
      <w:r w:rsidR="00BC406B" w:rsidRPr="00A74D0F">
        <w:rPr>
          <w:rFonts w:asciiTheme="majorHAnsi" w:eastAsia="Times New Roman" w:hAnsiTheme="majorHAnsi" w:cs="Arial"/>
          <w:sz w:val="24"/>
          <w:szCs w:val="24"/>
        </w:rPr>
        <w:t xml:space="preserve">. The Cincinnati expedition under </w:t>
      </w:r>
      <w:proofErr w:type="spellStart"/>
      <w:r w:rsidR="00BC406B" w:rsidRPr="00A74D0F">
        <w:rPr>
          <w:rFonts w:asciiTheme="majorHAnsi" w:eastAsia="Times New Roman" w:hAnsiTheme="majorHAnsi" w:cs="Arial"/>
          <w:sz w:val="24"/>
          <w:szCs w:val="24"/>
        </w:rPr>
        <w:t>Blegen</w:t>
      </w:r>
      <w:proofErr w:type="spellEnd"/>
      <w:r w:rsidR="00BC406B" w:rsidRPr="00A74D0F">
        <w:rPr>
          <w:rFonts w:asciiTheme="majorHAnsi" w:eastAsia="Times New Roman" w:hAnsiTheme="majorHAnsi" w:cs="Arial"/>
          <w:sz w:val="24"/>
          <w:szCs w:val="24"/>
        </w:rPr>
        <w:t xml:space="preserve"> concluded that Troy </w:t>
      </w:r>
      <w:proofErr w:type="spellStart"/>
      <w:r w:rsidR="00BC406B" w:rsidRPr="00A74D0F">
        <w:rPr>
          <w:rFonts w:asciiTheme="majorHAnsi" w:eastAsia="Times New Roman" w:hAnsiTheme="majorHAnsi" w:cs="Arial"/>
          <w:sz w:val="24"/>
          <w:szCs w:val="24"/>
        </w:rPr>
        <w:t>VIIa</w:t>
      </w:r>
      <w:proofErr w:type="spellEnd"/>
      <w:r w:rsidR="00BC406B" w:rsidRPr="00A74D0F">
        <w:rPr>
          <w:rFonts w:asciiTheme="majorHAnsi" w:eastAsia="Times New Roman" w:hAnsiTheme="majorHAnsi" w:cs="Arial"/>
          <w:sz w:val="24"/>
          <w:szCs w:val="24"/>
        </w:rPr>
        <w:t xml:space="preserve"> was very likely the capital of King </w:t>
      </w:r>
      <w:proofErr w:type="spellStart"/>
      <w:r w:rsidR="00BC406B" w:rsidRPr="00A74D0F">
        <w:rPr>
          <w:rFonts w:asciiTheme="majorHAnsi" w:hAnsiTheme="majorHAnsi"/>
          <w:sz w:val="24"/>
          <w:szCs w:val="24"/>
        </w:rPr>
        <w:fldChar w:fldCharType="begin"/>
      </w:r>
      <w:r w:rsidR="00BC406B" w:rsidRPr="00A74D0F">
        <w:rPr>
          <w:rFonts w:asciiTheme="majorHAnsi" w:hAnsiTheme="majorHAnsi"/>
          <w:sz w:val="24"/>
          <w:szCs w:val="24"/>
        </w:rPr>
        <w:instrText>HYPERLINK "http://www.britannica.com/EBchecked/topic/475706/Priam"</w:instrText>
      </w:r>
      <w:r w:rsidR="00BC406B" w:rsidRPr="00A74D0F">
        <w:rPr>
          <w:rFonts w:asciiTheme="majorHAnsi" w:hAnsiTheme="majorHAnsi"/>
          <w:sz w:val="24"/>
          <w:szCs w:val="24"/>
        </w:rPr>
        <w:fldChar w:fldCharType="separate"/>
      </w:r>
      <w:r w:rsidR="00BC406B" w:rsidRPr="00A74D0F">
        <w:rPr>
          <w:rFonts w:asciiTheme="majorHAnsi" w:eastAsia="Times New Roman" w:hAnsiTheme="majorHAnsi" w:cs="Arial"/>
          <w:sz w:val="24"/>
          <w:szCs w:val="24"/>
          <w:u w:val="single"/>
          <w:bdr w:val="none" w:sz="0" w:space="0" w:color="auto" w:frame="1"/>
        </w:rPr>
        <w:t>Priam</w:t>
      </w:r>
      <w:proofErr w:type="spellEnd"/>
      <w:r w:rsidR="00BC406B" w:rsidRPr="00A74D0F">
        <w:rPr>
          <w:rFonts w:asciiTheme="majorHAnsi" w:hAnsiTheme="majorHAnsi"/>
          <w:sz w:val="24"/>
          <w:szCs w:val="24"/>
        </w:rPr>
        <w:fldChar w:fldCharType="end"/>
      </w:r>
      <w:r w:rsidR="00BC406B" w:rsidRPr="00A74D0F">
        <w:rPr>
          <w:rFonts w:asciiTheme="majorHAnsi" w:eastAsia="Times New Roman" w:hAnsiTheme="majorHAnsi" w:cs="Arial"/>
          <w:sz w:val="24"/>
          <w:szCs w:val="24"/>
        </w:rPr>
        <w:t> described in Homer’s </w:t>
      </w:r>
      <w:r w:rsidR="00BC406B" w:rsidRPr="00A74D0F">
        <w:rPr>
          <w:rFonts w:asciiTheme="majorHAnsi" w:eastAsia="Times New Roman" w:hAnsiTheme="majorHAnsi" w:cs="Arial"/>
          <w:i/>
          <w:iCs/>
          <w:sz w:val="24"/>
          <w:szCs w:val="24"/>
          <w:bdr w:val="none" w:sz="0" w:space="0" w:color="auto" w:frame="1"/>
        </w:rPr>
        <w:t>Iliad,</w:t>
      </w:r>
      <w:r w:rsidR="00BC406B" w:rsidRPr="00A74D0F">
        <w:rPr>
          <w:rFonts w:asciiTheme="majorHAnsi" w:eastAsia="Times New Roman" w:hAnsiTheme="majorHAnsi" w:cs="Arial"/>
          <w:sz w:val="24"/>
          <w:szCs w:val="24"/>
        </w:rPr>
        <w:t> which was destroyed by the Greek armies of Agamemnon.</w:t>
      </w:r>
    </w:p>
    <w:p w:rsidR="00BC406B" w:rsidRPr="00A74D0F" w:rsidRDefault="00BC406B" w:rsidP="00BC406B">
      <w:pPr>
        <w:spacing w:line="240" w:lineRule="auto"/>
        <w:rPr>
          <w:rFonts w:asciiTheme="majorHAnsi" w:hAnsiTheme="majorHAnsi"/>
          <w:b/>
        </w:rPr>
      </w:pPr>
    </w:p>
    <w:p w:rsidR="00BC406B" w:rsidRPr="00A74D0F" w:rsidRDefault="00BC406B" w:rsidP="00BC406B">
      <w:pPr>
        <w:spacing w:line="240" w:lineRule="auto"/>
        <w:jc w:val="center"/>
        <w:rPr>
          <w:rFonts w:asciiTheme="majorHAnsi" w:hAnsiTheme="majorHAnsi"/>
          <w:b/>
        </w:rPr>
      </w:pPr>
      <w:r w:rsidRPr="00A74D0F">
        <w:rPr>
          <w:rFonts w:asciiTheme="majorHAnsi" w:hAnsiTheme="majorHAnsi"/>
          <w:b/>
        </w:rPr>
        <w:t xml:space="preserve">(Article found at: </w:t>
      </w:r>
      <w:hyperlink r:id="rId5" w:history="1">
        <w:r w:rsidRPr="00A74D0F">
          <w:rPr>
            <w:rStyle w:val="Hyperlink"/>
            <w:rFonts w:asciiTheme="majorHAnsi" w:hAnsiTheme="majorHAnsi"/>
            <w:b/>
            <w:color w:val="auto"/>
          </w:rPr>
          <w:t>http://www.britannica.com/EBchecked/topic/606871/Troy/277017/Findings</w:t>
        </w:r>
      </w:hyperlink>
      <w:r w:rsidRPr="00A74D0F">
        <w:rPr>
          <w:rFonts w:asciiTheme="majorHAnsi" w:hAnsiTheme="majorHAnsi"/>
          <w:b/>
        </w:rPr>
        <w:t xml:space="preserve"> </w:t>
      </w:r>
      <w:r w:rsidR="00A74D0F" w:rsidRPr="00A74D0F">
        <w:rPr>
          <w:rFonts w:asciiTheme="majorHAnsi" w:hAnsiTheme="majorHAnsi"/>
          <w:b/>
        </w:rPr>
        <w:t xml:space="preserve">and </w:t>
      </w:r>
      <w:hyperlink r:id="rId6" w:history="1">
        <w:r w:rsidR="00A74D0F" w:rsidRPr="00A74D0F">
          <w:rPr>
            <w:rStyle w:val="Hyperlink"/>
            <w:rFonts w:asciiTheme="majorHAnsi" w:hAnsiTheme="majorHAnsi"/>
            <w:b/>
            <w:color w:val="auto"/>
          </w:rPr>
          <w:t>http://www.history.com/topics/ancient-history/trojan-war</w:t>
        </w:r>
      </w:hyperlink>
      <w:r w:rsidR="00A74D0F" w:rsidRPr="00A74D0F">
        <w:rPr>
          <w:rFonts w:asciiTheme="majorHAnsi" w:hAnsiTheme="majorHAnsi"/>
          <w:b/>
        </w:rPr>
        <w:t xml:space="preserve"> </w:t>
      </w:r>
      <w:r w:rsidRPr="00A74D0F">
        <w:rPr>
          <w:rFonts w:asciiTheme="majorHAnsi" w:hAnsiTheme="majorHAnsi"/>
          <w:b/>
        </w:rPr>
        <w:t>)</w:t>
      </w:r>
    </w:p>
    <w:p w:rsidR="0017783B" w:rsidRPr="00A74D0F" w:rsidRDefault="0017783B">
      <w:pPr>
        <w:rPr>
          <w:rFonts w:asciiTheme="majorHAnsi" w:hAnsiTheme="majorHAnsi"/>
        </w:rPr>
      </w:pPr>
    </w:p>
    <w:sectPr w:rsidR="0017783B" w:rsidRPr="00A74D0F" w:rsidSect="00594E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06B"/>
    <w:rsid w:val="0017783B"/>
    <w:rsid w:val="00A74D0F"/>
    <w:rsid w:val="00BC4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ancient-history/trojan-war" TargetMode="External"/><Relationship Id="rId5" Type="http://schemas.openxmlformats.org/officeDocument/2006/relationships/hyperlink" Target="http://www.britannica.com/EBchecked/topic/606871/Troy/277017/Findings" TargetMode="External"/><Relationship Id="rId4" Type="http://schemas.openxmlformats.org/officeDocument/2006/relationships/hyperlink" Target="http://www.britannica.com/EBchecked/topic/1383420/Mycena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cp:lastPrinted>2017-12-05T15:20:00Z</cp:lastPrinted>
  <dcterms:created xsi:type="dcterms:W3CDTF">2017-12-05T15:09:00Z</dcterms:created>
  <dcterms:modified xsi:type="dcterms:W3CDTF">2017-12-05T15:21:00Z</dcterms:modified>
</cp:coreProperties>
</file>